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989A" w14:textId="77777777" w:rsidR="002E5825" w:rsidRDefault="00000000">
      <w:pPr>
        <w:rPr>
          <w:rFonts w:ascii="Times New Roman" w:eastAsia="Times New Roman" w:hAnsi="Times New Roman" w:cs="Times New Roman"/>
        </w:rPr>
      </w:pPr>
      <w:r>
        <w:rPr>
          <w:rFonts w:ascii="Baskervville" w:eastAsia="Baskervville" w:hAnsi="Baskervville" w:cs="Baskervville"/>
          <w:noProof/>
        </w:rPr>
        <w:drawing>
          <wp:inline distT="114300" distB="114300" distL="114300" distR="114300" wp14:anchorId="4C1DBD97" wp14:editId="2BFF1ADB">
            <wp:extent cx="1980247" cy="70468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80247" cy="704683"/>
                    </a:xfrm>
                    <a:prstGeom prst="rect">
                      <a:avLst/>
                    </a:prstGeom>
                    <a:ln/>
                  </pic:spPr>
                </pic:pic>
              </a:graphicData>
            </a:graphic>
          </wp:inline>
        </w:drawing>
      </w:r>
      <w:r>
        <w:rPr>
          <w:rFonts w:ascii="Baskervville" w:eastAsia="Baskervville" w:hAnsi="Baskervville" w:cs="Baskervville"/>
        </w:rPr>
        <w:t xml:space="preserve">                                                                </w:t>
      </w:r>
      <w:r>
        <w:rPr>
          <w:rFonts w:ascii="Baskervville" w:eastAsia="Baskervville" w:hAnsi="Baskervville" w:cs="Baskervville"/>
          <w:noProof/>
        </w:rPr>
        <w:drawing>
          <wp:inline distT="114300" distB="114300" distL="114300" distR="114300" wp14:anchorId="74B60498" wp14:editId="05DB2E8A">
            <wp:extent cx="1467803" cy="76884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67803" cy="768849"/>
                    </a:xfrm>
                    <a:prstGeom prst="rect">
                      <a:avLst/>
                    </a:prstGeom>
                    <a:ln/>
                  </pic:spPr>
                </pic:pic>
              </a:graphicData>
            </a:graphic>
          </wp:inline>
        </w:drawing>
      </w:r>
    </w:p>
    <w:p w14:paraId="4F2110E1" w14:textId="77777777" w:rsidR="002E5825" w:rsidRDefault="002E5825">
      <w:pPr>
        <w:shd w:val="clear" w:color="auto" w:fill="FFFFFF"/>
        <w:jc w:val="both"/>
        <w:rPr>
          <w:rFonts w:ascii="Times New Roman" w:eastAsia="Times New Roman" w:hAnsi="Times New Roman" w:cs="Times New Roman"/>
        </w:rPr>
      </w:pPr>
    </w:p>
    <w:p w14:paraId="429165C6" w14:textId="77777777" w:rsidR="002E5825" w:rsidRDefault="002E5825">
      <w:pPr>
        <w:shd w:val="clear" w:color="auto" w:fill="FFFFFF"/>
        <w:jc w:val="center"/>
        <w:rPr>
          <w:rFonts w:ascii="Baskervville" w:eastAsia="Baskervville" w:hAnsi="Baskervville" w:cs="Baskervville"/>
          <w:b/>
          <w:sz w:val="32"/>
          <w:szCs w:val="32"/>
        </w:rPr>
      </w:pPr>
    </w:p>
    <w:p w14:paraId="5EFA3532" w14:textId="77777777" w:rsidR="002E5825" w:rsidRDefault="00000000">
      <w:pPr>
        <w:shd w:val="clear" w:color="auto" w:fill="FFFFFF"/>
        <w:jc w:val="center"/>
        <w:rPr>
          <w:rFonts w:ascii="Baskervville" w:eastAsia="Baskervville" w:hAnsi="Baskervville" w:cs="Baskervville"/>
        </w:rPr>
      </w:pPr>
      <w:r>
        <w:rPr>
          <w:rFonts w:ascii="Baskervville" w:eastAsia="Baskervville" w:hAnsi="Baskervville" w:cs="Baskervville"/>
          <w:b/>
          <w:sz w:val="32"/>
          <w:szCs w:val="32"/>
        </w:rPr>
        <w:t>NORME REDAZIONALI</w:t>
      </w:r>
    </w:p>
    <w:p w14:paraId="3FD797F4" w14:textId="77777777" w:rsidR="002E5825" w:rsidRDefault="00000000">
      <w:pPr>
        <w:jc w:val="center"/>
        <w:rPr>
          <w:rFonts w:ascii="Baskervville" w:eastAsia="Baskervville" w:hAnsi="Baskervville" w:cs="Baskervville"/>
          <w:b/>
          <w:i/>
          <w:sz w:val="32"/>
          <w:szCs w:val="32"/>
        </w:rPr>
      </w:pPr>
      <w:r>
        <w:rPr>
          <w:rFonts w:ascii="Baskervville" w:eastAsia="Baskervville" w:hAnsi="Baskervville" w:cs="Baskervville"/>
          <w:b/>
          <w:sz w:val="32"/>
          <w:szCs w:val="32"/>
        </w:rPr>
        <w:t>La Nuova Giuridica</w:t>
      </w:r>
      <w:r>
        <w:rPr>
          <w:rFonts w:ascii="Baskervville" w:eastAsia="Baskervville" w:hAnsi="Baskervville" w:cs="Baskervville"/>
          <w:b/>
          <w:i/>
          <w:sz w:val="32"/>
          <w:szCs w:val="32"/>
        </w:rPr>
        <w:t xml:space="preserve"> – Florence </w:t>
      </w:r>
      <w:proofErr w:type="spellStart"/>
      <w:r>
        <w:rPr>
          <w:rFonts w:ascii="Baskervville" w:eastAsia="Baskervville" w:hAnsi="Baskervville" w:cs="Baskervville"/>
          <w:b/>
          <w:i/>
          <w:sz w:val="32"/>
          <w:szCs w:val="32"/>
        </w:rPr>
        <w:t>Law</w:t>
      </w:r>
      <w:proofErr w:type="spellEnd"/>
      <w:r>
        <w:rPr>
          <w:rFonts w:ascii="Baskervville" w:eastAsia="Baskervville" w:hAnsi="Baskervville" w:cs="Baskervville"/>
          <w:b/>
          <w:i/>
          <w:sz w:val="32"/>
          <w:szCs w:val="32"/>
        </w:rPr>
        <w:t xml:space="preserve"> Review</w:t>
      </w:r>
    </w:p>
    <w:p w14:paraId="4CED4ED8" w14:textId="77777777" w:rsidR="002E5825" w:rsidRDefault="002E5825">
      <w:pPr>
        <w:spacing w:line="360" w:lineRule="auto"/>
        <w:rPr>
          <w:rFonts w:ascii="Libre Baskerville" w:eastAsia="Libre Baskerville" w:hAnsi="Libre Baskerville" w:cs="Libre Baskerville"/>
          <w:b/>
        </w:rPr>
      </w:pPr>
    </w:p>
    <w:p w14:paraId="46F6A131" w14:textId="77777777" w:rsidR="002E5825" w:rsidRDefault="00000000">
      <w:pPr>
        <w:pBdr>
          <w:bottom w:val="single" w:sz="6" w:space="1" w:color="000000"/>
        </w:pBdr>
        <w:jc w:val="both"/>
        <w:rPr>
          <w:rFonts w:ascii="Baskervville" w:eastAsia="Baskervville" w:hAnsi="Baskervville" w:cs="Baskervville"/>
        </w:rPr>
      </w:pPr>
      <w:r>
        <w:rPr>
          <w:rFonts w:ascii="Baskervville" w:eastAsia="Baskervville" w:hAnsi="Baskervville" w:cs="Baskervville"/>
        </w:rPr>
        <w:t>Quelle che seguono sono le linee guida cui dovranno attenersi gli Autori nella redazione del proprio contributo da presentare alla Rivista. Si richiede l’utilizzo del font ‘Baskerville’, carattere 12, con interlinea 1,5 (per le note a piè di pagina, l’</w:t>
      </w:r>
      <w:r>
        <w:rPr>
          <w:rFonts w:ascii="Baskervville" w:eastAsia="Baskervville" w:hAnsi="Baskervville" w:cs="Baskervville"/>
          <w:i/>
        </w:rPr>
        <w:t>abstract</w:t>
      </w:r>
      <w:r>
        <w:rPr>
          <w:rFonts w:ascii="Baskervville" w:eastAsia="Baskervville" w:hAnsi="Baskervville" w:cs="Baskervville"/>
        </w:rPr>
        <w:t xml:space="preserve"> e il sommario 1,0) e allineamento giustificato (tranne che per il titolo e l’eventuale sottotitolo, che devono essere centrati). I margini dello scritto (laterali, superiori e inferiori) devono essere di 3 cm.</w:t>
      </w:r>
    </w:p>
    <w:p w14:paraId="7E929DC7" w14:textId="77777777" w:rsidR="002E5825" w:rsidRDefault="002E5825">
      <w:pPr>
        <w:pBdr>
          <w:bottom w:val="single" w:sz="6" w:space="1" w:color="000000"/>
        </w:pBdr>
        <w:jc w:val="both"/>
        <w:rPr>
          <w:rFonts w:ascii="Baskervville" w:eastAsia="Baskervville" w:hAnsi="Baskervville" w:cs="Baskervville"/>
        </w:rPr>
      </w:pPr>
    </w:p>
    <w:p w14:paraId="59BBD859" w14:textId="77777777" w:rsidR="002E5825" w:rsidRDefault="002E5825">
      <w:pPr>
        <w:jc w:val="both"/>
        <w:rPr>
          <w:rFonts w:ascii="Baskervville" w:eastAsia="Baskervville" w:hAnsi="Baskervville" w:cs="Baskervville"/>
          <w:smallCaps/>
        </w:rPr>
      </w:pPr>
    </w:p>
    <w:p w14:paraId="1667AE51" w14:textId="77777777" w:rsidR="002E5825" w:rsidRDefault="00000000">
      <w:pPr>
        <w:jc w:val="center"/>
        <w:rPr>
          <w:rFonts w:ascii="Baskervville" w:eastAsia="Baskervville" w:hAnsi="Baskervville" w:cs="Baskervville"/>
          <w:b/>
          <w:smallCaps/>
        </w:rPr>
      </w:pPr>
      <w:r>
        <w:rPr>
          <w:rFonts w:ascii="Baskervville" w:eastAsia="Baskervville" w:hAnsi="Baskervville" w:cs="Baskervville"/>
          <w:b/>
          <w:smallCaps/>
        </w:rPr>
        <w:t>TITOLO IN TONDO MAIUSCOLO GRASSETTO</w:t>
      </w:r>
    </w:p>
    <w:p w14:paraId="2297270E" w14:textId="77777777" w:rsidR="002E5825" w:rsidRDefault="00000000">
      <w:pPr>
        <w:jc w:val="center"/>
        <w:rPr>
          <w:rFonts w:ascii="Baskervville" w:eastAsia="Baskervville" w:hAnsi="Baskervville" w:cs="Baskervville"/>
        </w:rPr>
      </w:pPr>
      <w:r>
        <w:rPr>
          <w:rFonts w:ascii="Baskervville" w:eastAsia="Baskervville" w:hAnsi="Baskervville" w:cs="Baskervville"/>
        </w:rPr>
        <w:t>Eventuale sottotitolo in tondo minuscolo</w:t>
      </w:r>
    </w:p>
    <w:p w14:paraId="1BC1FE75" w14:textId="77777777" w:rsidR="002E5825" w:rsidRDefault="002E5825">
      <w:pPr>
        <w:jc w:val="both"/>
        <w:rPr>
          <w:rFonts w:ascii="Baskervville" w:eastAsia="Baskervville" w:hAnsi="Baskervville" w:cs="Baskervville"/>
          <w:i/>
        </w:rPr>
      </w:pPr>
    </w:p>
    <w:p w14:paraId="7C4B9515" w14:textId="77777777" w:rsidR="002E5825" w:rsidRDefault="00000000">
      <w:pPr>
        <w:jc w:val="both"/>
        <w:rPr>
          <w:rFonts w:ascii="Baskervville" w:eastAsia="Baskervville" w:hAnsi="Baskervville" w:cs="Baskervville"/>
          <w:i/>
        </w:rPr>
      </w:pPr>
      <w:r>
        <w:rPr>
          <w:rFonts w:ascii="Baskervville" w:eastAsia="Baskervville" w:hAnsi="Baskervville" w:cs="Baskervville"/>
          <w:i/>
        </w:rPr>
        <w:t>Abstract</w:t>
      </w:r>
      <w:r>
        <w:rPr>
          <w:rFonts w:ascii="Baskervville" w:eastAsia="Baskervville" w:hAnsi="Baskervville" w:cs="Baskervville"/>
        </w:rPr>
        <w:t xml:space="preserve"> </w:t>
      </w:r>
      <w:r>
        <w:rPr>
          <w:rFonts w:ascii="Baskervville" w:eastAsia="Baskervville" w:hAnsi="Baskervville" w:cs="Baskervville"/>
          <w:i/>
        </w:rPr>
        <w:t>in italiano in corsivo</w:t>
      </w:r>
    </w:p>
    <w:p w14:paraId="7AA34AE0" w14:textId="77777777" w:rsidR="002E5825" w:rsidRDefault="002E5825">
      <w:pPr>
        <w:jc w:val="both"/>
        <w:rPr>
          <w:rFonts w:ascii="Baskervville" w:eastAsia="Baskervville" w:hAnsi="Baskervville" w:cs="Baskervville"/>
          <w:i/>
        </w:rPr>
      </w:pPr>
    </w:p>
    <w:p w14:paraId="657C6424" w14:textId="77777777" w:rsidR="002E5825" w:rsidRDefault="00000000">
      <w:pPr>
        <w:jc w:val="both"/>
        <w:rPr>
          <w:rFonts w:ascii="Baskervville" w:eastAsia="Baskervville" w:hAnsi="Baskervville" w:cs="Baskervville"/>
          <w:i/>
        </w:rPr>
      </w:pPr>
      <w:r>
        <w:rPr>
          <w:rFonts w:ascii="Baskervville" w:eastAsia="Baskervville" w:hAnsi="Baskervville" w:cs="Baskervville"/>
          <w:i/>
        </w:rPr>
        <w:t>Abstract</w:t>
      </w:r>
      <w:r>
        <w:rPr>
          <w:rFonts w:ascii="Baskervville" w:eastAsia="Baskervville" w:hAnsi="Baskervville" w:cs="Baskervville"/>
        </w:rPr>
        <w:t xml:space="preserve"> </w:t>
      </w:r>
      <w:r>
        <w:rPr>
          <w:rFonts w:ascii="Baskervville" w:eastAsia="Baskervville" w:hAnsi="Baskervville" w:cs="Baskervville"/>
          <w:i/>
        </w:rPr>
        <w:t>in inglese in corsivo</w:t>
      </w:r>
    </w:p>
    <w:p w14:paraId="701AA127" w14:textId="77777777" w:rsidR="002E5825" w:rsidRDefault="002E5825">
      <w:pPr>
        <w:jc w:val="both"/>
        <w:rPr>
          <w:rFonts w:ascii="Baskervville" w:eastAsia="Baskervville" w:hAnsi="Baskervville" w:cs="Baskervville"/>
          <w:i/>
        </w:rPr>
      </w:pPr>
    </w:p>
    <w:p w14:paraId="48A53A79"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Nel caso in cui l’elaborato si presenti suddiviso in paragrafi e sotto-paragrafi, il sommario deve essere redatto in corpo inferiore rispetto al testo (carattere 10), come segue: </w:t>
      </w:r>
    </w:p>
    <w:p w14:paraId="05C0FD9E" w14:textId="77777777" w:rsidR="002E5825" w:rsidRDefault="002E5825">
      <w:pPr>
        <w:jc w:val="both"/>
        <w:rPr>
          <w:rFonts w:ascii="Baskervville" w:eastAsia="Baskervville" w:hAnsi="Baskervville" w:cs="Baskervville"/>
        </w:rPr>
      </w:pPr>
    </w:p>
    <w:p w14:paraId="57CE38B7" w14:textId="77777777" w:rsidR="002E5825" w:rsidRDefault="00000000">
      <w:pPr>
        <w:jc w:val="both"/>
        <w:rPr>
          <w:rFonts w:ascii="Baskervville" w:eastAsia="Baskervville" w:hAnsi="Baskervville" w:cs="Baskervville"/>
          <w:sz w:val="20"/>
          <w:szCs w:val="20"/>
          <w:highlight w:val="white"/>
        </w:rPr>
      </w:pPr>
      <w:r>
        <w:rPr>
          <w:rFonts w:ascii="Baskervville" w:eastAsia="Baskervville" w:hAnsi="Baskervville" w:cs="Baskervville"/>
          <w:smallCaps/>
          <w:sz w:val="20"/>
          <w:szCs w:val="20"/>
          <w:highlight w:val="white"/>
        </w:rPr>
        <w:t>Sommario (</w:t>
      </w:r>
      <w:r>
        <w:rPr>
          <w:rFonts w:ascii="Baskervville" w:eastAsia="Baskervville" w:hAnsi="Baskervville" w:cs="Baskervville"/>
          <w:sz w:val="20"/>
          <w:szCs w:val="20"/>
          <w:highlight w:val="white"/>
        </w:rPr>
        <w:t>in maiuscoletto</w:t>
      </w:r>
      <w:r>
        <w:rPr>
          <w:rFonts w:ascii="Baskervville" w:eastAsia="Baskervville" w:hAnsi="Baskervville" w:cs="Baskervville"/>
          <w:smallCaps/>
          <w:sz w:val="20"/>
          <w:szCs w:val="20"/>
          <w:highlight w:val="white"/>
        </w:rPr>
        <w:t>):</w:t>
      </w:r>
      <w:r>
        <w:rPr>
          <w:rFonts w:ascii="Baskervville" w:eastAsia="Baskervville" w:hAnsi="Baskervville" w:cs="Baskervville"/>
          <w:sz w:val="20"/>
          <w:szCs w:val="20"/>
          <w:highlight w:val="white"/>
        </w:rPr>
        <w:t xml:space="preserve"> 1. Titolo paragrafo in tondo. – 1.1. Titolo sotto-paragrafo. – 1.2. Titolo sotto-paragrafo. – 2. Titolo paragrafo. – 3. Titolo paragrafo. </w:t>
      </w:r>
    </w:p>
    <w:p w14:paraId="1D62A5AA" w14:textId="77777777" w:rsidR="002E5825" w:rsidRDefault="002E5825">
      <w:pPr>
        <w:pBdr>
          <w:bottom w:val="single" w:sz="6" w:space="1" w:color="000000"/>
        </w:pBdr>
        <w:jc w:val="both"/>
        <w:rPr>
          <w:rFonts w:ascii="Baskervville" w:eastAsia="Baskervville" w:hAnsi="Baskervville" w:cs="Baskervville"/>
          <w:sz w:val="20"/>
          <w:szCs w:val="20"/>
        </w:rPr>
      </w:pPr>
    </w:p>
    <w:p w14:paraId="6C7A34C9" w14:textId="77777777" w:rsidR="002E5825" w:rsidRDefault="002E5825">
      <w:pPr>
        <w:jc w:val="both"/>
        <w:rPr>
          <w:rFonts w:ascii="Baskervville" w:eastAsia="Baskervville" w:hAnsi="Baskervville" w:cs="Baskervville"/>
        </w:rPr>
      </w:pPr>
    </w:p>
    <w:p w14:paraId="2747EE8B" w14:textId="77777777" w:rsidR="002E5825" w:rsidRDefault="00000000">
      <w:pPr>
        <w:ind w:firstLine="720"/>
        <w:jc w:val="both"/>
        <w:rPr>
          <w:rFonts w:ascii="Baskervville" w:eastAsia="Baskervville" w:hAnsi="Baskervville" w:cs="Baskervville"/>
        </w:rPr>
      </w:pPr>
      <w:r>
        <w:rPr>
          <w:rFonts w:ascii="Baskervville" w:eastAsia="Baskervville" w:hAnsi="Baskervville" w:cs="Baskervville"/>
        </w:rPr>
        <w:t>1</w:t>
      </w:r>
      <w:r>
        <w:rPr>
          <w:rFonts w:ascii="Baskervville" w:eastAsia="Baskervville" w:hAnsi="Baskervville" w:cs="Baskervville"/>
          <w:i/>
        </w:rPr>
        <w:t xml:space="preserve">. Titolo paragrafo in corsivo. </w:t>
      </w:r>
      <w:r>
        <w:rPr>
          <w:rFonts w:ascii="Baskervville" w:eastAsia="Baskervville" w:hAnsi="Baskervville" w:cs="Baskervville"/>
        </w:rPr>
        <w:t xml:space="preserve">– Cui segue in tondo il corpo del testo. </w:t>
      </w:r>
    </w:p>
    <w:p w14:paraId="0D971727" w14:textId="77777777" w:rsidR="002E5825" w:rsidRDefault="002E5825">
      <w:pPr>
        <w:jc w:val="both"/>
        <w:rPr>
          <w:rFonts w:ascii="Baskervville" w:eastAsia="Baskervville" w:hAnsi="Baskervville" w:cs="Baskervville"/>
        </w:rPr>
      </w:pPr>
    </w:p>
    <w:p w14:paraId="785FDFAC" w14:textId="77777777" w:rsidR="002E5825" w:rsidRDefault="00000000">
      <w:pPr>
        <w:ind w:firstLine="720"/>
        <w:jc w:val="both"/>
        <w:rPr>
          <w:rFonts w:ascii="Baskervville" w:eastAsia="Baskervville" w:hAnsi="Baskervville" w:cs="Baskervville"/>
        </w:rPr>
      </w:pPr>
      <w:r>
        <w:rPr>
          <w:rFonts w:ascii="Baskervville" w:eastAsia="Baskervville" w:hAnsi="Baskervville" w:cs="Baskervville"/>
        </w:rPr>
        <w:t xml:space="preserve">1.1. </w:t>
      </w:r>
      <w:r>
        <w:rPr>
          <w:rFonts w:ascii="Baskervville" w:eastAsia="Baskervville" w:hAnsi="Baskervville" w:cs="Baskervville"/>
          <w:i/>
        </w:rPr>
        <w:t>Titolo sotto-paragrafo in corsivo.</w:t>
      </w:r>
      <w:r>
        <w:rPr>
          <w:rFonts w:ascii="Baskervville" w:eastAsia="Baskervville" w:hAnsi="Baskervville" w:cs="Baskervville"/>
        </w:rPr>
        <w:t xml:space="preserve"> – Cui segue in tondo il corpo del testo. </w:t>
      </w:r>
    </w:p>
    <w:p w14:paraId="1114C5A5" w14:textId="77777777" w:rsidR="002E5825" w:rsidRDefault="002E5825">
      <w:pPr>
        <w:jc w:val="both"/>
        <w:rPr>
          <w:rFonts w:ascii="Baskervville" w:eastAsia="Baskervville" w:hAnsi="Baskervville" w:cs="Baskervville"/>
        </w:rPr>
      </w:pPr>
    </w:p>
    <w:p w14:paraId="64EEFDAA"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Le espressioni in lingua diversa da quella del contributo devono essere redatte in </w:t>
      </w:r>
      <w:r>
        <w:rPr>
          <w:rFonts w:ascii="Baskervville" w:eastAsia="Baskervville" w:hAnsi="Baskervville" w:cs="Baskervville"/>
          <w:i/>
        </w:rPr>
        <w:t>corsivo</w:t>
      </w:r>
      <w:r>
        <w:rPr>
          <w:rFonts w:ascii="Baskervville" w:eastAsia="Baskervville" w:hAnsi="Baskervville" w:cs="Baskervville"/>
        </w:rPr>
        <w:t xml:space="preserve">. </w:t>
      </w:r>
    </w:p>
    <w:p w14:paraId="3F8661D6" w14:textId="77777777" w:rsidR="002E5825" w:rsidRDefault="002E5825">
      <w:pPr>
        <w:jc w:val="both"/>
        <w:rPr>
          <w:rFonts w:ascii="Baskervville" w:eastAsia="Baskervville" w:hAnsi="Baskervville" w:cs="Baskervville"/>
        </w:rPr>
      </w:pPr>
    </w:p>
    <w:p w14:paraId="21642AFB"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Le citazioni di brani fino a due righe di testo devono essere racchiuse «tra virgolette basse», se primarie, «…‘tra virgolette alte semplici’…», se secondarie. </w:t>
      </w:r>
      <w:r>
        <w:rPr>
          <w:rFonts w:ascii="Baskervville" w:eastAsia="Baskervville" w:hAnsi="Baskervville" w:cs="Baskervville"/>
          <w:highlight w:val="white"/>
        </w:rPr>
        <w:t>Le citazioni di brani superiori a cinque righe di testo, invece, devono essere riportate a capo, in corpo minore (carattere 11).</w:t>
      </w:r>
      <w:r>
        <w:rPr>
          <w:rFonts w:ascii="Baskervville" w:eastAsia="Baskervville" w:hAnsi="Baskervville" w:cs="Baskervville"/>
        </w:rPr>
        <w:t xml:space="preserve"> Eventuali omissioni saranno indicate con tre punti fra parentesi quadre […]. </w:t>
      </w:r>
    </w:p>
    <w:p w14:paraId="1AD1A9AA" w14:textId="77777777" w:rsidR="002E5825" w:rsidRDefault="002E5825">
      <w:pPr>
        <w:pBdr>
          <w:bottom w:val="single" w:sz="6" w:space="1" w:color="000000"/>
        </w:pBdr>
        <w:jc w:val="both"/>
        <w:rPr>
          <w:rFonts w:ascii="Baskervville" w:eastAsia="Baskervville" w:hAnsi="Baskervville" w:cs="Baskervville"/>
        </w:rPr>
      </w:pPr>
    </w:p>
    <w:p w14:paraId="7866A75C" w14:textId="77777777" w:rsidR="002E5825" w:rsidRDefault="002E5825">
      <w:pPr>
        <w:jc w:val="both"/>
        <w:rPr>
          <w:rFonts w:ascii="Baskervville" w:eastAsia="Baskervville" w:hAnsi="Baskervville" w:cs="Baskervville"/>
        </w:rPr>
      </w:pPr>
    </w:p>
    <w:p w14:paraId="152F7500"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Le note sono redatte in tondo, in corpo inferiore rispetto al testo (carattere 10) e sono numerate con numeri arabi a esponente. Nel testo i richiami delle note sono seguiti, e non </w:t>
      </w:r>
      <w:r>
        <w:rPr>
          <w:rFonts w:ascii="Baskervville" w:eastAsia="Baskervville" w:hAnsi="Baskervville" w:cs="Baskervville"/>
        </w:rPr>
        <w:lastRenderedPageBreak/>
        <w:t xml:space="preserve">preceduti, dai segni di interpunzione, ad eccezione del punto esclamativo e del punto interrogativo, che precedono sempre il richiamo. </w:t>
      </w:r>
    </w:p>
    <w:p w14:paraId="58A84F26" w14:textId="77777777" w:rsidR="002E5825" w:rsidRDefault="002E5825">
      <w:pPr>
        <w:jc w:val="both"/>
        <w:rPr>
          <w:rFonts w:ascii="Baskervville" w:eastAsia="Baskervville" w:hAnsi="Baskervville" w:cs="Baskervville"/>
        </w:rPr>
      </w:pPr>
    </w:p>
    <w:p w14:paraId="4BF14FF4"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Uno </w:t>
      </w:r>
      <w:r>
        <w:rPr>
          <w:rFonts w:ascii="Baskervville" w:eastAsia="Baskervville" w:hAnsi="Baskervville" w:cs="Baskervville"/>
          <w:b/>
          <w:u w:val="single"/>
        </w:rPr>
        <w:t>scritto a stampa</w:t>
      </w:r>
      <w:r>
        <w:rPr>
          <w:rFonts w:ascii="Baskervville" w:eastAsia="Baskervville" w:hAnsi="Baskervville" w:cs="Baskervville"/>
        </w:rPr>
        <w:t xml:space="preserve"> si cita indicando nell’ordine: </w:t>
      </w:r>
    </w:p>
    <w:p w14:paraId="039513BE" w14:textId="77777777" w:rsidR="002E5825" w:rsidRDefault="00000000">
      <w:pPr>
        <w:numPr>
          <w:ilvl w:val="0"/>
          <w:numId w:val="2"/>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nome puntato (o per intero, se vi è possibilità di equivoci) e il cognome dell’autore in </w:t>
      </w:r>
      <w:r>
        <w:rPr>
          <w:rFonts w:ascii="Baskervville" w:eastAsia="Baskervville" w:hAnsi="Baskervville" w:cs="Baskervville"/>
          <w:smallCaps/>
          <w:color w:val="000000"/>
        </w:rPr>
        <w:t>Maiuscoletto</w:t>
      </w:r>
      <w:r>
        <w:rPr>
          <w:rFonts w:ascii="Baskervville" w:eastAsia="Baskervville" w:hAnsi="Baskervville" w:cs="Baskervville"/>
          <w:color w:val="000000"/>
        </w:rPr>
        <w:t>;</w:t>
      </w:r>
    </w:p>
    <w:p w14:paraId="09231A2C" w14:textId="77777777" w:rsidR="002E5825" w:rsidRDefault="00000000">
      <w:pPr>
        <w:numPr>
          <w:ilvl w:val="0"/>
          <w:numId w:val="2"/>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titolo completo dell’opera, incluso il sottotitolo, in </w:t>
      </w:r>
      <w:r>
        <w:rPr>
          <w:rFonts w:ascii="Baskervville" w:eastAsia="Baskervville" w:hAnsi="Baskervville" w:cs="Baskervville"/>
          <w:i/>
          <w:color w:val="000000"/>
        </w:rPr>
        <w:t>corsivo</w:t>
      </w:r>
      <w:r>
        <w:rPr>
          <w:rFonts w:ascii="Baskervville" w:eastAsia="Baskervville" w:hAnsi="Baskervville" w:cs="Baskervville"/>
          <w:color w:val="000000"/>
        </w:rPr>
        <w:t xml:space="preserve">; </w:t>
      </w:r>
    </w:p>
    <w:p w14:paraId="22AFBBAA" w14:textId="77777777" w:rsidR="002E5825" w:rsidRDefault="00000000">
      <w:pPr>
        <w:numPr>
          <w:ilvl w:val="0"/>
          <w:numId w:val="2"/>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luogo di edizione in tondo; </w:t>
      </w:r>
    </w:p>
    <w:p w14:paraId="4ABF2CA4" w14:textId="77777777" w:rsidR="002E5825" w:rsidRDefault="00000000">
      <w:pPr>
        <w:numPr>
          <w:ilvl w:val="0"/>
          <w:numId w:val="2"/>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L’anno di edizione; </w:t>
      </w:r>
    </w:p>
    <w:p w14:paraId="23207F26" w14:textId="77777777" w:rsidR="002E5825" w:rsidRDefault="00000000">
      <w:pPr>
        <w:numPr>
          <w:ilvl w:val="0"/>
          <w:numId w:val="2"/>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L’eventuale indicazione del volume, del tomo e delle pagine di inizio e fine.</w:t>
      </w:r>
    </w:p>
    <w:p w14:paraId="30BA9A0A" w14:textId="77777777" w:rsidR="002E5825" w:rsidRDefault="00000000">
      <w:pPr>
        <w:numPr>
          <w:ilvl w:val="0"/>
          <w:numId w:val="2"/>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rPr>
        <w:t>Le pagine (p. 3/ pagg. 32-33/ p. 31 e segg.).</w:t>
      </w:r>
    </w:p>
    <w:p w14:paraId="01B4452F" w14:textId="77777777" w:rsidR="002E5825" w:rsidRDefault="002E5825">
      <w:pPr>
        <w:jc w:val="both"/>
        <w:rPr>
          <w:rFonts w:ascii="Baskervville" w:eastAsia="Baskervville" w:hAnsi="Baskervville" w:cs="Baskervville"/>
        </w:rPr>
      </w:pPr>
    </w:p>
    <w:p w14:paraId="7BCEBD7D" w14:textId="77777777" w:rsidR="002E5825" w:rsidRDefault="00000000">
      <w:pPr>
        <w:jc w:val="both"/>
        <w:rPr>
          <w:rFonts w:ascii="Baskervville" w:eastAsia="Baskervville" w:hAnsi="Baskervville" w:cs="Baskervville"/>
          <w:sz w:val="20"/>
          <w:szCs w:val="20"/>
        </w:rPr>
      </w:pPr>
      <w:r>
        <w:rPr>
          <w:rFonts w:ascii="Baskervville" w:eastAsia="Baskervville" w:hAnsi="Baskervville" w:cs="Baskervville"/>
        </w:rPr>
        <w:t xml:space="preserve">Esempio: </w:t>
      </w:r>
      <w:r>
        <w:rPr>
          <w:rFonts w:ascii="Baskervville" w:eastAsia="Baskervville" w:hAnsi="Baskervville" w:cs="Baskervville"/>
          <w:sz w:val="20"/>
          <w:szCs w:val="20"/>
          <w:vertAlign w:val="superscript"/>
        </w:rPr>
        <w:t xml:space="preserve">1 </w:t>
      </w:r>
      <w:r>
        <w:rPr>
          <w:rFonts w:ascii="Baskervville" w:eastAsia="Baskervville" w:hAnsi="Baskervville" w:cs="Baskervville"/>
          <w:smallCaps/>
          <w:sz w:val="20"/>
          <w:szCs w:val="20"/>
        </w:rPr>
        <w:t>G. Monaco</w:t>
      </w:r>
      <w:r>
        <w:rPr>
          <w:rFonts w:ascii="Baskervville" w:eastAsia="Baskervville" w:hAnsi="Baskervville" w:cs="Baskervville"/>
          <w:sz w:val="20"/>
          <w:szCs w:val="20"/>
        </w:rPr>
        <w:t xml:space="preserve">, </w:t>
      </w:r>
      <w:r>
        <w:rPr>
          <w:rFonts w:ascii="Baskervville" w:eastAsia="Baskervville" w:hAnsi="Baskervville" w:cs="Baskervville"/>
          <w:i/>
          <w:sz w:val="20"/>
          <w:szCs w:val="20"/>
        </w:rPr>
        <w:t>Pubblico ministero ed obbligatorietà dell’azione penale</w:t>
      </w:r>
      <w:r>
        <w:rPr>
          <w:rFonts w:ascii="Baskervville" w:eastAsia="Baskervville" w:hAnsi="Baskervville" w:cs="Baskervville"/>
          <w:sz w:val="20"/>
          <w:szCs w:val="20"/>
        </w:rPr>
        <w:t>, Milano, 2003, pagg. 57-64</w:t>
      </w:r>
    </w:p>
    <w:p w14:paraId="45486510" w14:textId="77777777" w:rsidR="002E5825" w:rsidRDefault="002E5825">
      <w:pPr>
        <w:jc w:val="both"/>
        <w:rPr>
          <w:rFonts w:ascii="Baskervville" w:eastAsia="Baskervville" w:hAnsi="Baskervville" w:cs="Baskervville"/>
        </w:rPr>
      </w:pPr>
    </w:p>
    <w:p w14:paraId="055A02F0"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Se lo scritto è apparso in un </w:t>
      </w:r>
      <w:r>
        <w:rPr>
          <w:rFonts w:ascii="Baskervville" w:eastAsia="Baskervville" w:hAnsi="Baskervville" w:cs="Baskervville"/>
          <w:b/>
          <w:u w:val="single"/>
        </w:rPr>
        <w:t>periodico</w:t>
      </w:r>
      <w:r>
        <w:rPr>
          <w:rFonts w:ascii="Baskervville" w:eastAsia="Baskervville" w:hAnsi="Baskervville" w:cs="Baskervville"/>
        </w:rPr>
        <w:t xml:space="preserve">, occorre indicare nell’ordine: </w:t>
      </w:r>
    </w:p>
    <w:p w14:paraId="692F68C8" w14:textId="77777777" w:rsidR="002E5825" w:rsidRDefault="00000000">
      <w:pPr>
        <w:numPr>
          <w:ilvl w:val="0"/>
          <w:numId w:val="3"/>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nome puntato (o per interno, se vi è possibilità di equivoci) e il cognome dell’autore in </w:t>
      </w:r>
      <w:r>
        <w:rPr>
          <w:rFonts w:ascii="Baskervville" w:eastAsia="Baskervville" w:hAnsi="Baskervville" w:cs="Baskervville"/>
          <w:smallCaps/>
          <w:color w:val="000000"/>
        </w:rPr>
        <w:t>Maiuscoletto</w:t>
      </w:r>
      <w:r>
        <w:rPr>
          <w:rFonts w:ascii="Baskervville" w:eastAsia="Baskervville" w:hAnsi="Baskervville" w:cs="Baskervville"/>
          <w:color w:val="000000"/>
        </w:rPr>
        <w:t xml:space="preserve">; </w:t>
      </w:r>
    </w:p>
    <w:p w14:paraId="5AD3B851" w14:textId="77777777" w:rsidR="002E5825" w:rsidRDefault="00000000">
      <w:pPr>
        <w:numPr>
          <w:ilvl w:val="0"/>
          <w:numId w:val="3"/>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titolo completo dell’articolo, incluso il sottotitolo, in </w:t>
      </w:r>
      <w:r>
        <w:rPr>
          <w:rFonts w:ascii="Baskervville" w:eastAsia="Baskervville" w:hAnsi="Baskervville" w:cs="Baskervville"/>
          <w:i/>
          <w:color w:val="000000"/>
        </w:rPr>
        <w:t>corsivo</w:t>
      </w:r>
      <w:r>
        <w:rPr>
          <w:rFonts w:ascii="Baskervville" w:eastAsia="Baskervville" w:hAnsi="Baskervville" w:cs="Baskervville"/>
          <w:color w:val="000000"/>
        </w:rPr>
        <w:t xml:space="preserve">; </w:t>
      </w:r>
    </w:p>
    <w:p w14:paraId="0752D857" w14:textId="77777777" w:rsidR="002E5825" w:rsidRDefault="00000000">
      <w:pPr>
        <w:numPr>
          <w:ilvl w:val="0"/>
          <w:numId w:val="3"/>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La testata del periodico in </w:t>
      </w:r>
      <w:r>
        <w:rPr>
          <w:rFonts w:ascii="Baskervville" w:eastAsia="Baskervville" w:hAnsi="Baskervville" w:cs="Baskervville"/>
          <w:i/>
          <w:color w:val="000000"/>
        </w:rPr>
        <w:t>corsivo</w:t>
      </w:r>
      <w:r>
        <w:rPr>
          <w:rFonts w:ascii="Baskervville" w:eastAsia="Baskervville" w:hAnsi="Baskervville" w:cs="Baskervville"/>
          <w:color w:val="000000"/>
        </w:rPr>
        <w:t>, preceduta dalla parola “in”;</w:t>
      </w:r>
    </w:p>
    <w:p w14:paraId="10423E13" w14:textId="77777777" w:rsidR="002E5825" w:rsidRDefault="00000000">
      <w:pPr>
        <w:numPr>
          <w:ilvl w:val="0"/>
          <w:numId w:val="3"/>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L’anno di pubblicazione; </w:t>
      </w:r>
    </w:p>
    <w:p w14:paraId="585428C8" w14:textId="77777777" w:rsidR="002E5825" w:rsidRDefault="00000000">
      <w:pPr>
        <w:numPr>
          <w:ilvl w:val="0"/>
          <w:numId w:val="3"/>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Il numero dell’annata o del volume in numeri romani;</w:t>
      </w:r>
    </w:p>
    <w:p w14:paraId="2FAD5E3E" w14:textId="77777777" w:rsidR="002E5825" w:rsidRDefault="00000000">
      <w:pPr>
        <w:numPr>
          <w:ilvl w:val="0"/>
          <w:numId w:val="3"/>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Eventualmente il numero arabo che contraddistingue il fascicolo e le pagine. </w:t>
      </w:r>
    </w:p>
    <w:p w14:paraId="29054558" w14:textId="77777777" w:rsidR="002E5825" w:rsidRDefault="002E5825">
      <w:pPr>
        <w:jc w:val="both"/>
        <w:rPr>
          <w:rFonts w:ascii="Baskervville" w:eastAsia="Baskervville" w:hAnsi="Baskervville" w:cs="Baskervville"/>
        </w:rPr>
      </w:pPr>
    </w:p>
    <w:p w14:paraId="4A420C1F" w14:textId="77777777" w:rsidR="002E5825" w:rsidRDefault="00000000">
      <w:pPr>
        <w:jc w:val="both"/>
        <w:rPr>
          <w:rFonts w:ascii="Baskervville" w:eastAsia="Baskervville" w:hAnsi="Baskervville" w:cs="Baskervville"/>
          <w:sz w:val="20"/>
          <w:szCs w:val="20"/>
        </w:rPr>
      </w:pPr>
      <w:r>
        <w:rPr>
          <w:rFonts w:ascii="Baskervville" w:eastAsia="Baskervville" w:hAnsi="Baskervville" w:cs="Baskervville"/>
        </w:rPr>
        <w:t xml:space="preserve">Esempio: </w:t>
      </w:r>
      <w:r>
        <w:rPr>
          <w:rFonts w:ascii="Baskervville" w:eastAsia="Baskervville" w:hAnsi="Baskervville" w:cs="Baskervville"/>
          <w:sz w:val="20"/>
          <w:szCs w:val="20"/>
          <w:vertAlign w:val="superscript"/>
        </w:rPr>
        <w:t xml:space="preserve">2 </w:t>
      </w:r>
      <w:r>
        <w:rPr>
          <w:rFonts w:ascii="Baskervville" w:eastAsia="Baskervville" w:hAnsi="Baskervville" w:cs="Baskervville"/>
          <w:smallCaps/>
          <w:sz w:val="20"/>
          <w:szCs w:val="20"/>
        </w:rPr>
        <w:t>G. Cristofolini</w:t>
      </w:r>
      <w:r>
        <w:rPr>
          <w:rFonts w:ascii="Baskervville" w:eastAsia="Baskervville" w:hAnsi="Baskervville" w:cs="Baskervville"/>
          <w:sz w:val="20"/>
          <w:szCs w:val="20"/>
        </w:rPr>
        <w:t xml:space="preserve">, </w:t>
      </w:r>
      <w:r>
        <w:rPr>
          <w:rFonts w:ascii="Baskervville" w:eastAsia="Baskervville" w:hAnsi="Baskervville" w:cs="Baskervville"/>
          <w:i/>
          <w:sz w:val="20"/>
          <w:szCs w:val="20"/>
        </w:rPr>
        <w:t>Efficacia della sentenza nel tempo</w:t>
      </w:r>
      <w:r>
        <w:rPr>
          <w:rFonts w:ascii="Baskervville" w:eastAsia="Baskervville" w:hAnsi="Baskervville" w:cs="Baskervville"/>
          <w:sz w:val="20"/>
          <w:szCs w:val="20"/>
        </w:rPr>
        <w:t xml:space="preserve">, in </w:t>
      </w:r>
      <w:r>
        <w:rPr>
          <w:rFonts w:ascii="Baskervville" w:eastAsia="Baskervville" w:hAnsi="Baskervville" w:cs="Baskervville"/>
          <w:i/>
          <w:sz w:val="20"/>
          <w:szCs w:val="20"/>
        </w:rPr>
        <w:t>Rivista di diritto processuale civile</w:t>
      </w:r>
      <w:r>
        <w:rPr>
          <w:rFonts w:ascii="Baskervville" w:eastAsia="Baskervville" w:hAnsi="Baskervville" w:cs="Baskervville"/>
          <w:sz w:val="20"/>
          <w:szCs w:val="20"/>
        </w:rPr>
        <w:t xml:space="preserve">, 1935, I, </w:t>
      </w:r>
      <w:proofErr w:type="gramStart"/>
      <w:r>
        <w:rPr>
          <w:rFonts w:ascii="Baskervville" w:eastAsia="Baskervville" w:hAnsi="Baskervville" w:cs="Baskervville"/>
          <w:sz w:val="20"/>
          <w:szCs w:val="20"/>
        </w:rPr>
        <w:t>p..</w:t>
      </w:r>
      <w:proofErr w:type="gramEnd"/>
      <w:r>
        <w:rPr>
          <w:rFonts w:ascii="Baskervville" w:eastAsia="Baskervville" w:hAnsi="Baskervville" w:cs="Baskervville"/>
          <w:sz w:val="20"/>
          <w:szCs w:val="20"/>
        </w:rPr>
        <w:t xml:space="preserve"> 293 e segg.</w:t>
      </w:r>
    </w:p>
    <w:p w14:paraId="62D7E238" w14:textId="77777777" w:rsidR="002E5825" w:rsidRDefault="002E5825">
      <w:pPr>
        <w:jc w:val="both"/>
        <w:rPr>
          <w:rFonts w:ascii="Baskervville" w:eastAsia="Baskervville" w:hAnsi="Baskervville" w:cs="Baskervville"/>
          <w:sz w:val="20"/>
          <w:szCs w:val="20"/>
        </w:rPr>
      </w:pPr>
    </w:p>
    <w:p w14:paraId="0F0E59D6"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Le </w:t>
      </w:r>
      <w:r>
        <w:rPr>
          <w:rFonts w:ascii="Baskervville" w:eastAsia="Baskervville" w:hAnsi="Baskervville" w:cs="Baskervville"/>
          <w:b/>
          <w:u w:val="single"/>
        </w:rPr>
        <w:t>opere collettanee</w:t>
      </w:r>
      <w:r>
        <w:rPr>
          <w:rFonts w:ascii="Baskervville" w:eastAsia="Baskervville" w:hAnsi="Baskervville" w:cs="Baskervville"/>
          <w:b/>
        </w:rPr>
        <w:t xml:space="preserve"> </w:t>
      </w:r>
      <w:r>
        <w:rPr>
          <w:rFonts w:ascii="Baskervville" w:eastAsia="Baskervville" w:hAnsi="Baskervville" w:cs="Baskervville"/>
        </w:rPr>
        <w:t xml:space="preserve">sono citate indicando il nome del curatore o dei curatori subito dopo il titolo delle stesse. Il nome del curatore o dei curatori non è in maiuscolo. </w:t>
      </w:r>
    </w:p>
    <w:p w14:paraId="349911E7" w14:textId="77777777" w:rsidR="002E5825" w:rsidRDefault="002E5825">
      <w:pPr>
        <w:jc w:val="both"/>
        <w:rPr>
          <w:rFonts w:ascii="Baskervville" w:eastAsia="Baskervville" w:hAnsi="Baskervville" w:cs="Baskervville"/>
        </w:rPr>
      </w:pPr>
    </w:p>
    <w:p w14:paraId="6F50965E" w14:textId="77777777" w:rsidR="002E5825" w:rsidRDefault="00000000">
      <w:pPr>
        <w:jc w:val="both"/>
        <w:rPr>
          <w:rFonts w:ascii="Baskervville" w:eastAsia="Baskervville" w:hAnsi="Baskervville" w:cs="Baskervville"/>
        </w:rPr>
      </w:pPr>
      <w:r>
        <w:rPr>
          <w:rFonts w:ascii="Baskervville" w:eastAsia="Baskervville" w:hAnsi="Baskervville" w:cs="Baskervville"/>
        </w:rPr>
        <w:t>Esempio:</w:t>
      </w:r>
      <w:r>
        <w:rPr>
          <w:rFonts w:ascii="Baskervville" w:eastAsia="Baskervville" w:hAnsi="Baskervville" w:cs="Baskervville"/>
          <w:vertAlign w:val="superscript"/>
        </w:rPr>
        <w:t xml:space="preserve"> </w:t>
      </w:r>
      <w:r>
        <w:rPr>
          <w:rFonts w:ascii="Baskervville" w:eastAsia="Baskervville" w:hAnsi="Baskervville" w:cs="Baskervville"/>
          <w:sz w:val="20"/>
          <w:szCs w:val="20"/>
          <w:vertAlign w:val="superscript"/>
        </w:rPr>
        <w:t xml:space="preserve">3 </w:t>
      </w:r>
      <w:r>
        <w:rPr>
          <w:rFonts w:ascii="Baskervville" w:eastAsia="Baskervville" w:hAnsi="Baskervville" w:cs="Baskervville"/>
          <w:smallCaps/>
          <w:sz w:val="20"/>
          <w:szCs w:val="20"/>
        </w:rPr>
        <w:t xml:space="preserve">E. </w:t>
      </w:r>
      <w:proofErr w:type="spellStart"/>
      <w:r>
        <w:rPr>
          <w:rFonts w:ascii="Baskervville" w:eastAsia="Baskervville" w:hAnsi="Baskervville" w:cs="Baskervville"/>
          <w:smallCaps/>
          <w:sz w:val="20"/>
          <w:szCs w:val="20"/>
        </w:rPr>
        <w:t>Marzaduri</w:t>
      </w:r>
      <w:proofErr w:type="spellEnd"/>
      <w:r>
        <w:rPr>
          <w:rFonts w:ascii="Baskervville" w:eastAsia="Baskervville" w:hAnsi="Baskervville" w:cs="Baskervville"/>
          <w:sz w:val="20"/>
          <w:szCs w:val="20"/>
        </w:rPr>
        <w:t xml:space="preserve">, </w:t>
      </w:r>
      <w:r>
        <w:rPr>
          <w:rFonts w:ascii="Baskervville" w:eastAsia="Baskervville" w:hAnsi="Baskervville" w:cs="Baskervville"/>
          <w:i/>
          <w:sz w:val="20"/>
          <w:szCs w:val="20"/>
        </w:rPr>
        <w:t>La sospensione dei processi penali nei suoi rapporti con la previsione dei c.d. criteri di priorità</w:t>
      </w:r>
      <w:r>
        <w:rPr>
          <w:rFonts w:ascii="Baskervville" w:eastAsia="Baskervville" w:hAnsi="Baskervville" w:cs="Baskervville"/>
          <w:sz w:val="20"/>
          <w:szCs w:val="20"/>
        </w:rPr>
        <w:t xml:space="preserve">, in </w:t>
      </w:r>
      <w:r>
        <w:rPr>
          <w:rFonts w:ascii="Baskervville" w:eastAsia="Baskervville" w:hAnsi="Baskervville" w:cs="Baskervville"/>
          <w:i/>
          <w:sz w:val="20"/>
          <w:szCs w:val="20"/>
        </w:rPr>
        <w:t>L’azione penale tra obbligatorietà e discrezionalità</w:t>
      </w:r>
      <w:r>
        <w:rPr>
          <w:rFonts w:ascii="Baskervville" w:eastAsia="Baskervville" w:hAnsi="Baskervville" w:cs="Baskervville"/>
          <w:sz w:val="20"/>
          <w:szCs w:val="20"/>
        </w:rPr>
        <w:t xml:space="preserve">, Atti del Convegno, Bari, 29 novembre 2008, a cura di V. </w:t>
      </w:r>
      <w:proofErr w:type="spellStart"/>
      <w:r>
        <w:rPr>
          <w:rFonts w:ascii="Baskervville" w:eastAsia="Baskervville" w:hAnsi="Baskervville" w:cs="Baskervville"/>
          <w:sz w:val="20"/>
          <w:szCs w:val="20"/>
        </w:rPr>
        <w:t>Garofoli</w:t>
      </w:r>
      <w:proofErr w:type="spellEnd"/>
      <w:r>
        <w:rPr>
          <w:rFonts w:ascii="Baskervville" w:eastAsia="Baskervville" w:hAnsi="Baskervville" w:cs="Baskervville"/>
          <w:sz w:val="20"/>
          <w:szCs w:val="20"/>
        </w:rPr>
        <w:t>, Milano, 2009, p. 25 e segg.</w:t>
      </w:r>
    </w:p>
    <w:p w14:paraId="01A590FC" w14:textId="77777777" w:rsidR="002E5825" w:rsidRDefault="002E5825">
      <w:pPr>
        <w:jc w:val="both"/>
        <w:rPr>
          <w:rFonts w:ascii="Baskervville" w:eastAsia="Baskervville" w:hAnsi="Baskervville" w:cs="Baskervville"/>
        </w:rPr>
      </w:pPr>
    </w:p>
    <w:p w14:paraId="47B7B856" w14:textId="77777777" w:rsidR="002E5825" w:rsidRDefault="00000000">
      <w:pPr>
        <w:jc w:val="both"/>
        <w:rPr>
          <w:rFonts w:ascii="Baskervville" w:eastAsia="Baskervville" w:hAnsi="Baskervville" w:cs="Baskervville"/>
        </w:rPr>
      </w:pPr>
      <w:r>
        <w:rPr>
          <w:rFonts w:ascii="Baskervville" w:eastAsia="Baskervville" w:hAnsi="Baskervville" w:cs="Baskervville"/>
        </w:rPr>
        <w:t>Quando si cita un saggio compreso in una raccolta che sia opera del medesimo Autore o della medesima Autrice, occorre premettere al titolo della raccolta le parole “in Id</w:t>
      </w:r>
      <w:r>
        <w:rPr>
          <w:rFonts w:ascii="Baskervville" w:eastAsia="Baskervville" w:hAnsi="Baskervville" w:cs="Baskervville"/>
          <w:i/>
        </w:rPr>
        <w:t>.</w:t>
      </w:r>
      <w:r>
        <w:rPr>
          <w:rFonts w:ascii="Baskervville" w:eastAsia="Baskervville" w:hAnsi="Baskervville" w:cs="Baskervville"/>
        </w:rPr>
        <w:t xml:space="preserve">” o “in </w:t>
      </w:r>
      <w:proofErr w:type="spellStart"/>
      <w:r>
        <w:rPr>
          <w:rFonts w:ascii="Baskervville" w:eastAsia="Baskervville" w:hAnsi="Baskervville" w:cs="Baskervville"/>
        </w:rPr>
        <w:t>Ead</w:t>
      </w:r>
      <w:proofErr w:type="spellEnd"/>
      <w:r>
        <w:rPr>
          <w:rFonts w:ascii="Baskervville" w:eastAsia="Baskervville" w:hAnsi="Baskervville" w:cs="Baskervville"/>
        </w:rPr>
        <w:t>.”</w:t>
      </w:r>
    </w:p>
    <w:p w14:paraId="6E279C33" w14:textId="77777777" w:rsidR="002E5825" w:rsidRDefault="002E5825">
      <w:pPr>
        <w:jc w:val="both"/>
        <w:rPr>
          <w:rFonts w:ascii="Baskervville" w:eastAsia="Baskervville" w:hAnsi="Baskervville" w:cs="Baskervville"/>
        </w:rPr>
      </w:pPr>
    </w:p>
    <w:p w14:paraId="00A0377C"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Le </w:t>
      </w:r>
      <w:r>
        <w:rPr>
          <w:rFonts w:ascii="Baskervville" w:eastAsia="Baskervville" w:hAnsi="Baskervville" w:cs="Baskervville"/>
          <w:b/>
          <w:u w:val="single"/>
        </w:rPr>
        <w:t>fonti informatiche</w:t>
      </w:r>
      <w:r>
        <w:rPr>
          <w:rFonts w:ascii="Baskervville" w:eastAsia="Baskervville" w:hAnsi="Baskervville" w:cs="Baskervville"/>
        </w:rPr>
        <w:t xml:space="preserve"> si citano indicando, nell’ordine: </w:t>
      </w:r>
    </w:p>
    <w:p w14:paraId="1D7D3357" w14:textId="77777777" w:rsidR="002E5825" w:rsidRDefault="00000000">
      <w:pPr>
        <w:numPr>
          <w:ilvl w:val="0"/>
          <w:numId w:val="1"/>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nome puntato (o per intero, se vi è possibilità di equivoci) e il cognome dell’autore in </w:t>
      </w:r>
      <w:r>
        <w:rPr>
          <w:rFonts w:ascii="Baskervville" w:eastAsia="Baskervville" w:hAnsi="Baskervville" w:cs="Baskervville"/>
          <w:smallCaps/>
          <w:color w:val="000000"/>
        </w:rPr>
        <w:t xml:space="preserve">Maiuscoletto, </w:t>
      </w:r>
      <w:r>
        <w:rPr>
          <w:rFonts w:ascii="Baskervville" w:eastAsia="Baskervville" w:hAnsi="Baskervville" w:cs="Baskervville"/>
          <w:color w:val="000000"/>
        </w:rPr>
        <w:t>se presente.</w:t>
      </w:r>
    </w:p>
    <w:p w14:paraId="67275949" w14:textId="77777777" w:rsidR="002E5825" w:rsidRDefault="00000000">
      <w:pPr>
        <w:numPr>
          <w:ilvl w:val="0"/>
          <w:numId w:val="1"/>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Il titolo completo dell’articolo o del documento, incluso il sottotitolo, in </w:t>
      </w:r>
      <w:r>
        <w:rPr>
          <w:rFonts w:ascii="Baskervville" w:eastAsia="Baskervville" w:hAnsi="Baskervville" w:cs="Baskervville"/>
          <w:i/>
          <w:color w:val="000000"/>
        </w:rPr>
        <w:t>corsivo</w:t>
      </w:r>
      <w:r>
        <w:rPr>
          <w:rFonts w:ascii="Baskervville" w:eastAsia="Baskervville" w:hAnsi="Baskervville" w:cs="Baskervville"/>
          <w:color w:val="000000"/>
        </w:rPr>
        <w:t xml:space="preserve">; </w:t>
      </w:r>
    </w:p>
    <w:p w14:paraId="6B993233" w14:textId="77777777" w:rsidR="002E5825" w:rsidRDefault="00000000">
      <w:pPr>
        <w:numPr>
          <w:ilvl w:val="0"/>
          <w:numId w:val="1"/>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Il nome del sito internet;</w:t>
      </w:r>
    </w:p>
    <w:p w14:paraId="6F27CD9A" w14:textId="77777777" w:rsidR="002E5825" w:rsidRDefault="00000000">
      <w:pPr>
        <w:numPr>
          <w:ilvl w:val="0"/>
          <w:numId w:val="1"/>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L’URL, l’indirizzo completo della pagina;</w:t>
      </w:r>
    </w:p>
    <w:p w14:paraId="12218A16" w14:textId="54517EAC" w:rsidR="002E5825" w:rsidRDefault="00000000" w:rsidP="008A2802">
      <w:pPr>
        <w:numPr>
          <w:ilvl w:val="0"/>
          <w:numId w:val="1"/>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La data dell’ultima consultazione. </w:t>
      </w:r>
    </w:p>
    <w:p w14:paraId="5575625A" w14:textId="134AF6AE" w:rsidR="008A2802" w:rsidRDefault="008A2802" w:rsidP="008A2802">
      <w:pPr>
        <w:pBdr>
          <w:top w:val="nil"/>
          <w:left w:val="nil"/>
          <w:bottom w:val="nil"/>
          <w:right w:val="nil"/>
          <w:between w:val="nil"/>
        </w:pBdr>
        <w:jc w:val="both"/>
        <w:rPr>
          <w:rFonts w:ascii="Baskervville" w:eastAsia="Baskervville" w:hAnsi="Baskervville" w:cs="Baskervville"/>
          <w:color w:val="000000"/>
        </w:rPr>
      </w:pPr>
    </w:p>
    <w:p w14:paraId="3DE63ED6" w14:textId="4505787A" w:rsidR="008A2802" w:rsidRDefault="008A2802" w:rsidP="008A2802">
      <w:pPr>
        <w:pBdr>
          <w:top w:val="nil"/>
          <w:left w:val="nil"/>
          <w:bottom w:val="nil"/>
          <w:right w:val="nil"/>
          <w:between w:val="nil"/>
        </w:pBdr>
        <w:jc w:val="both"/>
        <w:rPr>
          <w:rFonts w:ascii="Baskervville" w:eastAsia="Baskervville" w:hAnsi="Baskervville" w:cs="Baskervville"/>
          <w:color w:val="000000"/>
        </w:rPr>
      </w:pPr>
    </w:p>
    <w:p w14:paraId="7DEBA6E6" w14:textId="77777777" w:rsidR="008A2802" w:rsidRPr="008A2802" w:rsidRDefault="008A2802" w:rsidP="008A2802">
      <w:pPr>
        <w:pBdr>
          <w:top w:val="nil"/>
          <w:left w:val="nil"/>
          <w:bottom w:val="nil"/>
          <w:right w:val="nil"/>
          <w:between w:val="nil"/>
        </w:pBdr>
        <w:jc w:val="both"/>
        <w:rPr>
          <w:rFonts w:ascii="Baskervville" w:eastAsia="Baskervville" w:hAnsi="Baskervville" w:cs="Baskervville"/>
          <w:color w:val="000000"/>
        </w:rPr>
      </w:pPr>
    </w:p>
    <w:p w14:paraId="2BBB1DDF" w14:textId="77777777" w:rsidR="002E5825" w:rsidRDefault="00000000">
      <w:pPr>
        <w:jc w:val="both"/>
        <w:rPr>
          <w:rFonts w:ascii="Baskervville" w:eastAsia="Baskervville" w:hAnsi="Baskervville" w:cs="Baskervville"/>
          <w:b/>
          <w:u w:val="single"/>
        </w:rPr>
      </w:pPr>
      <w:r>
        <w:rPr>
          <w:rFonts w:ascii="Baskervville" w:eastAsia="Baskervville" w:hAnsi="Baskervville" w:cs="Baskervville"/>
          <w:b/>
          <w:u w:val="single"/>
        </w:rPr>
        <w:lastRenderedPageBreak/>
        <w:t>Abbreviazioni</w:t>
      </w:r>
    </w:p>
    <w:p w14:paraId="4475D079"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Quando si cita una diversa opera dell’autore citato nella nota immediatamente precedente, si utilizza l’abbreviazione </w:t>
      </w:r>
      <w:r>
        <w:rPr>
          <w:rFonts w:ascii="Baskervville" w:eastAsia="Baskervville" w:hAnsi="Baskervville" w:cs="Baskervville"/>
          <w:smallCaps/>
        </w:rPr>
        <w:t>Id.</w:t>
      </w:r>
      <w:r>
        <w:rPr>
          <w:rFonts w:ascii="Baskervville" w:eastAsia="Baskervville" w:hAnsi="Baskervville" w:cs="Baskervville"/>
        </w:rPr>
        <w:t xml:space="preserve"> o </w:t>
      </w:r>
      <w:proofErr w:type="spellStart"/>
      <w:r>
        <w:rPr>
          <w:rFonts w:ascii="Baskervville" w:eastAsia="Baskervville" w:hAnsi="Baskervville" w:cs="Baskervville"/>
          <w:smallCaps/>
        </w:rPr>
        <w:t>Ead</w:t>
      </w:r>
      <w:proofErr w:type="spellEnd"/>
      <w:r>
        <w:rPr>
          <w:rFonts w:ascii="Baskervville" w:eastAsia="Baskervville" w:hAnsi="Baskervville" w:cs="Baskervville"/>
          <w:smallCaps/>
        </w:rPr>
        <w:t xml:space="preserve">. </w:t>
      </w:r>
      <w:r>
        <w:rPr>
          <w:rFonts w:ascii="Baskervville" w:eastAsia="Baskervville" w:hAnsi="Baskervville" w:cs="Baskervville"/>
        </w:rPr>
        <w:t>per l’autore o l’autrice.</w:t>
      </w:r>
    </w:p>
    <w:p w14:paraId="76CB9156" w14:textId="77777777" w:rsidR="002E5825" w:rsidRDefault="002E5825">
      <w:pPr>
        <w:jc w:val="both"/>
        <w:rPr>
          <w:rFonts w:ascii="Baskervville" w:eastAsia="Baskervville" w:hAnsi="Baskervville" w:cs="Baskervville"/>
        </w:rPr>
      </w:pPr>
    </w:p>
    <w:p w14:paraId="7A939935" w14:textId="77777777" w:rsidR="002E5825" w:rsidRDefault="00000000">
      <w:pPr>
        <w:jc w:val="both"/>
        <w:rPr>
          <w:rFonts w:ascii="Baskervville" w:eastAsia="Baskervville" w:hAnsi="Baskervville" w:cs="Baskervville"/>
        </w:rPr>
      </w:pPr>
      <w:r>
        <w:rPr>
          <w:rFonts w:ascii="Baskervville" w:eastAsia="Baskervville" w:hAnsi="Baskervville" w:cs="Baskervville"/>
        </w:rPr>
        <w:t xml:space="preserve">Per quanto riguarda le opere già citate in precedenza, si procederà come segue: </w:t>
      </w:r>
    </w:p>
    <w:p w14:paraId="0B6987F5" w14:textId="77777777" w:rsidR="002E5825" w:rsidRDefault="00000000">
      <w:pPr>
        <w:numPr>
          <w:ilvl w:val="0"/>
          <w:numId w:val="4"/>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Con l’abbreviazione </w:t>
      </w:r>
      <w:r>
        <w:rPr>
          <w:rFonts w:ascii="Baskervville" w:eastAsia="Baskervville" w:hAnsi="Baskervville" w:cs="Baskervville"/>
          <w:i/>
          <w:color w:val="000000"/>
        </w:rPr>
        <w:t>Ibidem</w:t>
      </w:r>
      <w:r>
        <w:rPr>
          <w:rFonts w:ascii="Baskervville" w:eastAsia="Baskervville" w:hAnsi="Baskervville" w:cs="Baskervville"/>
          <w:color w:val="000000"/>
        </w:rPr>
        <w:t xml:space="preserve"> </w:t>
      </w:r>
      <w:r>
        <w:rPr>
          <w:rFonts w:ascii="Baskervville" w:eastAsia="Baskervville" w:hAnsi="Baskervville" w:cs="Baskervville"/>
          <w:i/>
          <w:color w:val="000000"/>
        </w:rPr>
        <w:t>(in corsivo)</w:t>
      </w:r>
      <w:r>
        <w:rPr>
          <w:rFonts w:ascii="Baskervville" w:eastAsia="Baskervville" w:hAnsi="Baskervville" w:cs="Baskervville"/>
          <w:color w:val="000000"/>
        </w:rPr>
        <w:t>,</w:t>
      </w:r>
      <w:r>
        <w:rPr>
          <w:rFonts w:ascii="Baskervville" w:eastAsia="Baskervville" w:hAnsi="Baskervville" w:cs="Baskervville"/>
          <w:i/>
          <w:color w:val="000000"/>
        </w:rPr>
        <w:t xml:space="preserve"> </w:t>
      </w:r>
      <w:r>
        <w:rPr>
          <w:rFonts w:ascii="Baskervville" w:eastAsia="Baskervville" w:hAnsi="Baskervville" w:cs="Baskervville"/>
          <w:color w:val="000000"/>
        </w:rPr>
        <w:t xml:space="preserve">quando la citazione si ripete in sequenza senza variazione di alcun elemento; </w:t>
      </w:r>
    </w:p>
    <w:p w14:paraId="6A9185A9" w14:textId="77777777" w:rsidR="002E5825" w:rsidRDefault="00000000">
      <w:pPr>
        <w:numPr>
          <w:ilvl w:val="0"/>
          <w:numId w:val="4"/>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 xml:space="preserve">Con l’indicazione ‘Ivi’ (in tondo) quando la citazione si ripete in sequenza ma almeno un elemento della citazione muta. </w:t>
      </w:r>
      <w:r>
        <w:rPr>
          <w:rFonts w:ascii="Baskervville" w:eastAsia="Baskervville" w:hAnsi="Baskervville" w:cs="Baskervville"/>
          <w:color w:val="000000"/>
        </w:rPr>
        <w:br/>
        <w:t xml:space="preserve">Tali locuzioni, evidentemente, non possono essere usate nel caso in cui venga citato più di un testo nella nota precedente. </w:t>
      </w:r>
    </w:p>
    <w:p w14:paraId="6BC1A56B" w14:textId="77777777" w:rsidR="002E5825" w:rsidRDefault="00000000">
      <w:pPr>
        <w:numPr>
          <w:ilvl w:val="0"/>
          <w:numId w:val="4"/>
        </w:numPr>
        <w:pBdr>
          <w:top w:val="nil"/>
          <w:left w:val="nil"/>
          <w:bottom w:val="nil"/>
          <w:right w:val="nil"/>
          <w:between w:val="nil"/>
        </w:pBdr>
        <w:jc w:val="both"/>
        <w:rPr>
          <w:rFonts w:ascii="Baskervville" w:eastAsia="Baskervville" w:hAnsi="Baskervville" w:cs="Baskervville"/>
          <w:color w:val="000000"/>
        </w:rPr>
      </w:pPr>
      <w:r>
        <w:rPr>
          <w:rFonts w:ascii="Baskervville" w:eastAsia="Baskervville" w:hAnsi="Baskervville" w:cs="Baskervville"/>
          <w:color w:val="000000"/>
        </w:rPr>
        <w:t>Con l’indicazione del cognome dell’autore in</w:t>
      </w:r>
      <w:r>
        <w:rPr>
          <w:rFonts w:ascii="Baskervville" w:eastAsia="Baskervville" w:hAnsi="Baskervville" w:cs="Baskervville"/>
          <w:sz w:val="20"/>
          <w:szCs w:val="20"/>
          <w:vertAlign w:val="superscript"/>
        </w:rPr>
        <w:t xml:space="preserve"> </w:t>
      </w:r>
      <w:r>
        <w:rPr>
          <w:rFonts w:ascii="Baskervville" w:eastAsia="Baskervville" w:hAnsi="Baskervville" w:cs="Baskervville"/>
          <w:smallCaps/>
        </w:rPr>
        <w:t>Maiuscoletto</w:t>
      </w:r>
      <w:r>
        <w:rPr>
          <w:rFonts w:ascii="Baskervville" w:eastAsia="Baskervville" w:hAnsi="Baskervville" w:cs="Baskervville"/>
          <w:color w:val="000000"/>
        </w:rPr>
        <w:t xml:space="preserve">, il titolo dell’opera abbreviato (sempre nello stesso modo) e aggiungendo la sigla ‘cit.’ (in tondo). </w:t>
      </w:r>
    </w:p>
    <w:p w14:paraId="7EF3F1D4" w14:textId="77777777" w:rsidR="002E5825" w:rsidRDefault="002E5825">
      <w:pPr>
        <w:ind w:left="360"/>
        <w:jc w:val="both"/>
        <w:rPr>
          <w:rFonts w:ascii="Baskervville" w:eastAsia="Baskervville" w:hAnsi="Baskervville" w:cs="Baskervville"/>
        </w:rPr>
      </w:pPr>
    </w:p>
    <w:p w14:paraId="6F914ADF" w14:textId="77777777" w:rsidR="002E5825" w:rsidRDefault="00000000">
      <w:pPr>
        <w:pBdr>
          <w:top w:val="nil"/>
          <w:left w:val="nil"/>
          <w:bottom w:val="nil"/>
          <w:right w:val="nil"/>
          <w:between w:val="nil"/>
        </w:pBdr>
        <w:ind w:left="720"/>
        <w:jc w:val="both"/>
        <w:rPr>
          <w:rFonts w:ascii="Baskervville" w:eastAsia="Baskervville" w:hAnsi="Baskervville" w:cs="Baskervville"/>
          <w:color w:val="000000"/>
        </w:rPr>
      </w:pPr>
      <w:r>
        <w:rPr>
          <w:rFonts w:ascii="Baskervville" w:eastAsia="Baskervville" w:hAnsi="Baskervville" w:cs="Baskervville"/>
          <w:color w:val="000000"/>
        </w:rPr>
        <w:t xml:space="preserve">Esempio: </w:t>
      </w:r>
      <w:r>
        <w:rPr>
          <w:rFonts w:ascii="Baskervville" w:eastAsia="Baskervville" w:hAnsi="Baskervville" w:cs="Baskervville"/>
          <w:color w:val="000000"/>
          <w:sz w:val="20"/>
          <w:szCs w:val="20"/>
          <w:vertAlign w:val="superscript"/>
        </w:rPr>
        <w:t xml:space="preserve">4 </w:t>
      </w:r>
      <w:proofErr w:type="spellStart"/>
      <w:r>
        <w:rPr>
          <w:rFonts w:ascii="Baskervville" w:eastAsia="Baskervville" w:hAnsi="Baskervville" w:cs="Baskervville"/>
          <w:smallCaps/>
          <w:color w:val="000000"/>
          <w:sz w:val="20"/>
          <w:szCs w:val="20"/>
        </w:rPr>
        <w:t>Marzaduri</w:t>
      </w:r>
      <w:proofErr w:type="spellEnd"/>
      <w:r>
        <w:rPr>
          <w:rFonts w:ascii="Baskervville" w:eastAsia="Baskervville" w:hAnsi="Baskervville" w:cs="Baskervville"/>
          <w:color w:val="000000"/>
          <w:sz w:val="20"/>
          <w:szCs w:val="20"/>
        </w:rPr>
        <w:t xml:space="preserve">, </w:t>
      </w:r>
      <w:r>
        <w:rPr>
          <w:rFonts w:ascii="Baskervville" w:eastAsia="Baskervville" w:hAnsi="Baskervville" w:cs="Baskervville"/>
          <w:i/>
          <w:color w:val="000000"/>
          <w:sz w:val="20"/>
          <w:szCs w:val="20"/>
        </w:rPr>
        <w:t>La sospensione</w:t>
      </w:r>
      <w:r>
        <w:rPr>
          <w:rFonts w:ascii="Baskervville" w:eastAsia="Baskervville" w:hAnsi="Baskervville" w:cs="Baskervville"/>
          <w:color w:val="000000"/>
          <w:sz w:val="20"/>
          <w:szCs w:val="20"/>
        </w:rPr>
        <w:t>, cit.</w:t>
      </w:r>
      <w:r>
        <w:rPr>
          <w:rFonts w:ascii="Baskervville" w:eastAsia="Baskervville" w:hAnsi="Baskervville" w:cs="Baskervville"/>
          <w:sz w:val="20"/>
          <w:szCs w:val="20"/>
        </w:rPr>
        <w:t>, p. 32.</w:t>
      </w:r>
      <w:r>
        <w:rPr>
          <w:rFonts w:ascii="Baskervville" w:eastAsia="Baskervville" w:hAnsi="Baskervville" w:cs="Baskervville"/>
          <w:color w:val="000000"/>
        </w:rPr>
        <w:t xml:space="preserve"> </w:t>
      </w:r>
    </w:p>
    <w:p w14:paraId="33F24CC4" w14:textId="77777777" w:rsidR="002E5825" w:rsidRDefault="002E5825">
      <w:pPr>
        <w:jc w:val="both"/>
        <w:rPr>
          <w:rFonts w:ascii="Libre Baskerville" w:eastAsia="Libre Baskerville" w:hAnsi="Libre Baskerville" w:cs="Libre Baskerville"/>
        </w:rPr>
      </w:pPr>
    </w:p>
    <w:p w14:paraId="7177C980" w14:textId="77777777" w:rsidR="002E5825" w:rsidRDefault="002E5825">
      <w:pPr>
        <w:jc w:val="both"/>
        <w:rPr>
          <w:rFonts w:ascii="Libre Baskerville" w:eastAsia="Libre Baskerville" w:hAnsi="Libre Baskerville" w:cs="Libre Baskerville"/>
        </w:rPr>
      </w:pPr>
    </w:p>
    <w:p w14:paraId="1B7A2C96" w14:textId="77777777" w:rsidR="002E5825" w:rsidRDefault="002E5825">
      <w:pPr>
        <w:rPr>
          <w:rFonts w:ascii="Libre Baskerville" w:eastAsia="Libre Baskerville" w:hAnsi="Libre Baskerville" w:cs="Libre Baskerville"/>
        </w:rPr>
      </w:pPr>
    </w:p>
    <w:p w14:paraId="390D3E59" w14:textId="77777777" w:rsidR="002E5825" w:rsidRDefault="002E5825"/>
    <w:sectPr w:rsidR="002E582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ville">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217"/>
    <w:multiLevelType w:val="multilevel"/>
    <w:tmpl w:val="90126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8D20A2"/>
    <w:multiLevelType w:val="multilevel"/>
    <w:tmpl w:val="2C2AB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DE319C"/>
    <w:multiLevelType w:val="multilevel"/>
    <w:tmpl w:val="D8EA1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C795B"/>
    <w:multiLevelType w:val="multilevel"/>
    <w:tmpl w:val="B7A26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603060">
    <w:abstractNumId w:val="1"/>
  </w:num>
  <w:num w:numId="2" w16cid:durableId="800927117">
    <w:abstractNumId w:val="0"/>
  </w:num>
  <w:num w:numId="3" w16cid:durableId="1523396012">
    <w:abstractNumId w:val="3"/>
  </w:num>
  <w:num w:numId="4" w16cid:durableId="181956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25"/>
    <w:rsid w:val="002E5825"/>
    <w:rsid w:val="008A2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1CAB59"/>
  <w15:docId w15:val="{52F7F9A6-AAB5-0B4E-A93C-19A921B8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36F"/>
  </w:style>
  <w:style w:type="paragraph" w:styleId="Titolo1">
    <w:name w:val="heading 1"/>
    <w:basedOn w:val="Normale"/>
    <w:next w:val="Normale"/>
    <w:link w:val="Titolo1Carattere"/>
    <w:uiPriority w:val="9"/>
    <w:qFormat/>
    <w:rsid w:val="00B317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B3174E"/>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B3174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fao8cjwS7HPa/8FypIWqwPglA==">AMUW2mVSuor11YRkJ38/M2XE0PdY0mVL0XpquZEb1DZxRwPpZyp31xUHgqf75DtXUP9xHct28nQAjfhtIUvWt2Qh+z/NgXjCO2u+81r6HwAFbyg+ExKnE9s=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Lari</dc:creator>
  <cp:lastModifiedBy>Giulia Lari</cp:lastModifiedBy>
  <cp:revision>2</cp:revision>
  <dcterms:created xsi:type="dcterms:W3CDTF">2022-06-03T17:48:00Z</dcterms:created>
  <dcterms:modified xsi:type="dcterms:W3CDTF">2022-06-23T13:39:00Z</dcterms:modified>
</cp:coreProperties>
</file>